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2270"/>
        <w:tblW w:w="9209" w:type="dxa"/>
        <w:tblLook w:val="04A0" w:firstRow="1" w:lastRow="0" w:firstColumn="1" w:lastColumn="0" w:noHBand="0" w:noVBand="1"/>
      </w:tblPr>
      <w:tblGrid>
        <w:gridCol w:w="1570"/>
        <w:gridCol w:w="7639"/>
      </w:tblGrid>
      <w:tr w:rsidR="00DA513B" w:rsidTr="00DA513B">
        <w:tc>
          <w:tcPr>
            <w:tcW w:w="9209" w:type="dxa"/>
            <w:gridSpan w:val="2"/>
          </w:tcPr>
          <w:p w:rsidR="00DA513B" w:rsidRPr="00F93271" w:rsidRDefault="00DA513B" w:rsidP="00DA513B">
            <w:pPr>
              <w:rPr>
                <w:b/>
              </w:rPr>
            </w:pPr>
            <w:bookmarkStart w:id="0" w:name="_GoBack"/>
            <w:bookmarkEnd w:id="0"/>
            <w:r w:rsidRPr="00F93271">
              <w:rPr>
                <w:b/>
              </w:rPr>
              <w:t>SKALAINFORMASJON</w:t>
            </w:r>
          </w:p>
        </w:tc>
      </w:tr>
      <w:tr w:rsidR="00DA513B" w:rsidTr="00DA513B">
        <w:tc>
          <w:tcPr>
            <w:tcW w:w="1570" w:type="dxa"/>
          </w:tcPr>
          <w:p w:rsidR="00DA513B" w:rsidRDefault="00DA513B" w:rsidP="00DA513B">
            <w:r>
              <w:t>Antall påstander:</w:t>
            </w:r>
          </w:p>
        </w:tc>
        <w:tc>
          <w:tcPr>
            <w:tcW w:w="7639" w:type="dxa"/>
          </w:tcPr>
          <w:p w:rsidR="00DA513B" w:rsidRDefault="00DA513B" w:rsidP="00DA513B">
            <w:r>
              <w:t>Skåringsskala: 13 påstander for de som ikke arbeider, 9 påstander for de som ikke arbeider</w:t>
            </w:r>
          </w:p>
        </w:tc>
      </w:tr>
      <w:tr w:rsidR="00DA513B" w:rsidTr="00DA513B">
        <w:tc>
          <w:tcPr>
            <w:tcW w:w="1570" w:type="dxa"/>
          </w:tcPr>
          <w:p w:rsidR="00DA513B" w:rsidRDefault="00DA513B" w:rsidP="00DA513B">
            <w:r>
              <w:t>Skala og poengskåring:</w:t>
            </w:r>
          </w:p>
        </w:tc>
        <w:tc>
          <w:tcPr>
            <w:tcW w:w="7639" w:type="dxa"/>
          </w:tcPr>
          <w:p w:rsidR="00DA513B" w:rsidRDefault="00DA513B" w:rsidP="00DA513B">
            <w:r>
              <w:t>Det finnes fem svaralternativer. Hver påstand får poeng etter følgende poengskala: For hver påstand blir deltakerne bedt om å angi hvor enige eller uenige de er i hvert utsagn når det gjelder dem selv på intervjutidspunktet.</w:t>
            </w:r>
          </w:p>
          <w:p w:rsidR="00DA513B" w:rsidRDefault="00DA513B" w:rsidP="00DA513B"/>
          <w:p w:rsidR="00DA513B" w:rsidRDefault="00DA513B" w:rsidP="00DA513B">
            <w:r>
              <w:t>1 – Helt uenig</w:t>
            </w:r>
          </w:p>
          <w:p w:rsidR="00DA513B" w:rsidRDefault="00DA513B" w:rsidP="00DA513B">
            <w:r>
              <w:t>2 –</w:t>
            </w:r>
          </w:p>
          <w:p w:rsidR="00DA513B" w:rsidRDefault="00DA513B" w:rsidP="00DA513B">
            <w:r>
              <w:t>3 –</w:t>
            </w:r>
          </w:p>
          <w:p w:rsidR="00DA513B" w:rsidRDefault="00DA513B" w:rsidP="00DA513B">
            <w:r>
              <w:t>4 –</w:t>
            </w:r>
          </w:p>
          <w:p w:rsidR="00DA513B" w:rsidRDefault="00DA513B" w:rsidP="00DA513B">
            <w:r>
              <w:t>5 – Helt enig</w:t>
            </w:r>
          </w:p>
          <w:p w:rsidR="00DA513B" w:rsidRDefault="00DA513B" w:rsidP="00DA513B"/>
          <w:p w:rsidR="00DA513B" w:rsidRDefault="00DA513B" w:rsidP="00DA513B">
            <w:r>
              <w:t>Påstandene er inndelt i delskalaer. For hver delskala blir det beregnet et gjennomsnitt av alle påstandene tilhørende delskalaen. En høyere skår indikerer et høyere nivå på det som blir målt – høyere skår på ”Føroverveielse” indikerer høyere nivå på ”Føroverveielsesoppfatning”, mens høyere skår på ”Klar til handling” indikerer høyere nivå på ”Oppfatning om å være klar til handling”. Delskalaene inneholder følgende påstander:</w:t>
            </w:r>
          </w:p>
          <w:p w:rsidR="00DA513B" w:rsidRDefault="00DA513B" w:rsidP="00DA513B"/>
          <w:p w:rsidR="00DA513B" w:rsidRPr="00A82F55" w:rsidRDefault="00DA513B" w:rsidP="00DA513B">
            <w:r w:rsidRPr="00A82F55">
              <w:t>Føroverveielse: A1, A2, A13.</w:t>
            </w:r>
          </w:p>
          <w:p w:rsidR="00DA513B" w:rsidRPr="00A82F55" w:rsidRDefault="00DA513B" w:rsidP="00DA513B">
            <w:r w:rsidRPr="00A82F55">
              <w:t>Overveielse: A9, A11, A12.</w:t>
            </w:r>
          </w:p>
          <w:p w:rsidR="00DA513B" w:rsidRDefault="00DA513B" w:rsidP="00DA513B">
            <w:r>
              <w:t>Klar til handling - egenvurdert: A4, A7, A8, A10.</w:t>
            </w:r>
          </w:p>
          <w:p w:rsidR="00DA513B" w:rsidRDefault="00BE0C96" w:rsidP="00DA513B">
            <w:r>
              <w:t>Klar til handling – at</w:t>
            </w:r>
            <w:r w:rsidR="00DA513B">
              <w:t xml:space="preserve">ferdsmessig: A3, A5, A6. </w:t>
            </w:r>
          </w:p>
          <w:p w:rsidR="00DA513B" w:rsidRDefault="00DA513B" w:rsidP="00DA513B">
            <w:r>
              <w:t>Usikker opprettholdelse: B5, B6, B7, B8, B9.</w:t>
            </w:r>
          </w:p>
          <w:p w:rsidR="00DA513B" w:rsidRDefault="00DA513B" w:rsidP="00DA513B">
            <w:r>
              <w:t>Proaktiv opprettholdelse: B1, B2, B3, B4.</w:t>
            </w:r>
          </w:p>
          <w:p w:rsidR="00DA513B" w:rsidRDefault="00DA513B" w:rsidP="00DA513B"/>
          <w:p w:rsidR="00DA513B" w:rsidRDefault="00DA513B" w:rsidP="00DA513B">
            <w:r>
              <w:rPr>
                <w:u w:val="single"/>
              </w:rPr>
              <w:t>S</w:t>
            </w:r>
            <w:r w:rsidRPr="00A0576C">
              <w:rPr>
                <w:u w:val="single"/>
              </w:rPr>
              <w:t>kalaen reverseres</w:t>
            </w:r>
            <w:r>
              <w:rPr>
                <w:u w:val="single"/>
              </w:rPr>
              <w:t xml:space="preserve"> for følgende påstander</w:t>
            </w:r>
            <w:r>
              <w:t>:</w:t>
            </w:r>
          </w:p>
          <w:p w:rsidR="00DA513B" w:rsidRDefault="00DA513B" w:rsidP="00DA51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A7) </w:t>
            </w:r>
            <w:r w:rsidRPr="0000613C">
              <w:rPr>
                <w:bCs/>
                <w:iCs/>
              </w:rPr>
              <w:t>Jeg er ikke klar til å begynne å jobbe igjen.</w:t>
            </w:r>
          </w:p>
          <w:p w:rsidR="00DA513B" w:rsidRPr="00DA513B" w:rsidRDefault="00DA513B" w:rsidP="00DA513B">
            <w:pPr>
              <w:rPr>
                <w:bCs/>
                <w:iCs/>
              </w:rPr>
            </w:pPr>
            <w:r w:rsidRPr="002F1E9C">
              <w:t>B8) Jeg har begynt å jobbe igjen, og det går fint.</w:t>
            </w:r>
          </w:p>
        </w:tc>
      </w:tr>
      <w:tr w:rsidR="00DA513B" w:rsidRPr="00B141CE" w:rsidTr="00DA513B">
        <w:trPr>
          <w:trHeight w:val="978"/>
        </w:trPr>
        <w:tc>
          <w:tcPr>
            <w:tcW w:w="1570" w:type="dxa"/>
          </w:tcPr>
          <w:p w:rsidR="00DA513B" w:rsidRDefault="00DA513B" w:rsidP="00DA513B">
            <w:r>
              <w:t>Referanse:</w:t>
            </w:r>
          </w:p>
        </w:tc>
        <w:tc>
          <w:tcPr>
            <w:tcW w:w="7639" w:type="dxa"/>
          </w:tcPr>
          <w:p w:rsidR="00DA513B" w:rsidRPr="00F64B2D" w:rsidRDefault="00DA513B" w:rsidP="00DA513B">
            <w:pPr>
              <w:rPr>
                <w:lang w:val="nn-NO"/>
              </w:rPr>
            </w:pPr>
            <w:r w:rsidRPr="00F64B2D">
              <w:rPr>
                <w:lang w:val="nn-NO"/>
              </w:rPr>
              <w:t>Originalskala:</w:t>
            </w:r>
          </w:p>
          <w:p w:rsidR="00DA513B" w:rsidRDefault="00DA513B" w:rsidP="00DA513B">
            <w:pPr>
              <w:rPr>
                <w:sz w:val="20"/>
                <w:lang w:val="en-GB"/>
              </w:rPr>
            </w:pPr>
            <w:r w:rsidRPr="00F64B2D">
              <w:rPr>
                <w:sz w:val="22"/>
                <w:lang w:val="nn-NO"/>
              </w:rPr>
              <w:t xml:space="preserve">Franche, Renée-Louise, et al. </w:t>
            </w:r>
            <w:r w:rsidRPr="00F64B2D">
              <w:rPr>
                <w:sz w:val="22"/>
                <w:lang w:val="en-GB"/>
              </w:rPr>
              <w:t xml:space="preserve">"The readiness for return-to-work (RRTW) scale: development and validation of a self-report staging scale in lost-time claimants with musculoskeletal disorders." </w:t>
            </w:r>
            <w:r w:rsidRPr="00F64B2D">
              <w:rPr>
                <w:i/>
                <w:iCs/>
                <w:sz w:val="22"/>
                <w:lang w:val="en-GB"/>
              </w:rPr>
              <w:t>Journal of occupational rehabilitation</w:t>
            </w:r>
            <w:r w:rsidRPr="00F64B2D">
              <w:rPr>
                <w:sz w:val="22"/>
                <w:lang w:val="en-GB"/>
              </w:rPr>
              <w:t xml:space="preserve"> 17.3 (2007): 450-472. </w:t>
            </w:r>
            <w:hyperlink r:id="rId6" w:history="1">
              <w:r w:rsidRPr="00256190">
                <w:rPr>
                  <w:rStyle w:val="Hyperkobling"/>
                  <w:sz w:val="20"/>
                  <w:lang w:val="en-GB"/>
                </w:rPr>
                <w:t>http://link.springer.com/article/10.1007/s10926-007-9097-9</w:t>
              </w:r>
            </w:hyperlink>
          </w:p>
          <w:p w:rsidR="00DA513B" w:rsidRPr="00F64B2D" w:rsidRDefault="00DA513B" w:rsidP="00DA513B">
            <w:pPr>
              <w:rPr>
                <w:sz w:val="22"/>
                <w:lang w:val="en-GB"/>
              </w:rPr>
            </w:pPr>
          </w:p>
          <w:p w:rsidR="00DA513B" w:rsidRDefault="00DA513B" w:rsidP="00DA513B">
            <w:r w:rsidRPr="00F64B2D">
              <w:t>Norsk oversettelse:</w:t>
            </w:r>
          </w:p>
          <w:p w:rsidR="00DA513B" w:rsidRDefault="00DA513B" w:rsidP="00DA513B">
            <w:pPr>
              <w:rPr>
                <w:sz w:val="20"/>
                <w:lang w:val="en-GB"/>
              </w:rPr>
            </w:pPr>
            <w:r w:rsidRPr="00F64B2D">
              <w:rPr>
                <w:sz w:val="22"/>
              </w:rPr>
              <w:t xml:space="preserve">Braathen, Tore N., et al. </w:t>
            </w:r>
            <w:r w:rsidRPr="00F64B2D">
              <w:rPr>
                <w:sz w:val="22"/>
                <w:lang w:val="en-GB"/>
              </w:rPr>
              <w:t xml:space="preserve">"Psychometric properties of the readiness for return to work scale in inpatient occupational rehabilitation in Norway." </w:t>
            </w:r>
            <w:r w:rsidRPr="00F64B2D">
              <w:rPr>
                <w:i/>
                <w:iCs/>
                <w:sz w:val="22"/>
                <w:lang w:val="en-GB"/>
              </w:rPr>
              <w:t>Journal of occupational rehabilitation</w:t>
            </w:r>
            <w:r w:rsidRPr="00F64B2D">
              <w:rPr>
                <w:sz w:val="22"/>
                <w:lang w:val="en-GB"/>
              </w:rPr>
              <w:t xml:space="preserve"> 23.3 (2013): 371-380. </w:t>
            </w:r>
            <w:hyperlink r:id="rId7" w:history="1">
              <w:r w:rsidRPr="00256190">
                <w:rPr>
                  <w:rStyle w:val="Hyperkobling"/>
                  <w:sz w:val="20"/>
                  <w:lang w:val="en-GB"/>
                </w:rPr>
                <w:t>http://link.springer.com/article/10.1007/s10926-012-9414-9</w:t>
              </w:r>
            </w:hyperlink>
          </w:p>
          <w:p w:rsidR="00DA513B" w:rsidRDefault="00DA513B" w:rsidP="00DA513B">
            <w:pPr>
              <w:rPr>
                <w:sz w:val="20"/>
                <w:lang w:val="en-GB"/>
              </w:rPr>
            </w:pPr>
          </w:p>
          <w:p w:rsidR="00DA513B" w:rsidRPr="00B141CE" w:rsidRDefault="00B141CE" w:rsidP="00DA513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Ofte, Håvard J</w:t>
            </w:r>
            <w:r w:rsidR="00DA513B" w:rsidRPr="00F64B2D">
              <w:rPr>
                <w:sz w:val="22"/>
                <w:lang w:val="en-GB"/>
              </w:rPr>
              <w:t xml:space="preserve">. "Investigating Stages of Return to Work in Norway: Cross-Cultural Adaptation of The Readiness for Return to Work Scale (Long Version)." </w:t>
            </w:r>
            <w:r w:rsidR="00DA513B" w:rsidRPr="00B141CE">
              <w:rPr>
                <w:sz w:val="22"/>
                <w:lang w:val="en-GB"/>
              </w:rPr>
              <w:t xml:space="preserve">(2014). </w:t>
            </w:r>
            <w:hyperlink r:id="rId8" w:tgtFrame="_blank" w:history="1">
              <w:r w:rsidR="00DA513B" w:rsidRPr="00B141CE">
                <w:rPr>
                  <w:rStyle w:val="Hyperkobling"/>
                  <w:sz w:val="20"/>
                  <w:lang w:val="en-GB"/>
                </w:rPr>
                <w:t xml:space="preserve">http://urn.nb.no/URN:NBN:no-44583 </w:t>
              </w:r>
            </w:hyperlink>
          </w:p>
        </w:tc>
      </w:tr>
    </w:tbl>
    <w:p w:rsidR="00DA513B" w:rsidRPr="00DA513B" w:rsidRDefault="000039F5" w:rsidP="00DA513B">
      <w:pPr>
        <w:pStyle w:val="Tittel"/>
      </w:pPr>
      <w:r>
        <w:t>Klar for arbeid</w:t>
      </w:r>
      <w:r w:rsidR="00F64B2D">
        <w:t xml:space="preserve">  - skåring</w:t>
      </w:r>
    </w:p>
    <w:sectPr w:rsidR="00DA513B" w:rsidRPr="00DA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2D" w:rsidRDefault="00F64B2D" w:rsidP="00F64B2D">
      <w:r>
        <w:separator/>
      </w:r>
    </w:p>
  </w:endnote>
  <w:endnote w:type="continuationSeparator" w:id="0">
    <w:p w:rsidR="00F64B2D" w:rsidRDefault="00F64B2D" w:rsidP="00F6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2D" w:rsidRDefault="00F64B2D" w:rsidP="00F64B2D">
      <w:r>
        <w:separator/>
      </w:r>
    </w:p>
  </w:footnote>
  <w:footnote w:type="continuationSeparator" w:id="0">
    <w:p w:rsidR="00F64B2D" w:rsidRDefault="00F64B2D" w:rsidP="00F6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AE"/>
    <w:rsid w:val="000039F5"/>
    <w:rsid w:val="001303D2"/>
    <w:rsid w:val="002F3E25"/>
    <w:rsid w:val="007B51AE"/>
    <w:rsid w:val="00972545"/>
    <w:rsid w:val="00B141CE"/>
    <w:rsid w:val="00BE0C96"/>
    <w:rsid w:val="00DA513B"/>
    <w:rsid w:val="00F64B2D"/>
    <w:rsid w:val="00FA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0FE34-2CFA-4E1E-A9A3-08290D57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2D"/>
    <w:pPr>
      <w:spacing w:after="0" w:line="240" w:lineRule="auto"/>
    </w:pPr>
    <w:rPr>
      <w:rFonts w:asciiTheme="majorHAnsi" w:eastAsia="Times New Roman" w:hAnsiTheme="majorHAnsi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B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F64B2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64B2D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64B2D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64B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4B2D"/>
    <w:rPr>
      <w:rFonts w:asciiTheme="majorHAnsi" w:eastAsia="Times New Roman" w:hAnsiTheme="majorHAnsi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64B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4B2D"/>
    <w:rPr>
      <w:rFonts w:asciiTheme="majorHAnsi" w:eastAsia="Times New Roman" w:hAnsiTheme="majorHAnsi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nb.no/URN:NBN:no-445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nk.springer.com/article/10.1007/s10926-012-9414-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.springer.com/article/10.1007/s10926-007-9097-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Jakobsen Ofte</dc:creator>
  <cp:keywords/>
  <dc:description/>
  <cp:lastModifiedBy>Randi Jøsendal Johansen</cp:lastModifiedBy>
  <cp:revision>2</cp:revision>
  <dcterms:created xsi:type="dcterms:W3CDTF">2015-02-13T07:19:00Z</dcterms:created>
  <dcterms:modified xsi:type="dcterms:W3CDTF">2015-02-13T07:19:00Z</dcterms:modified>
</cp:coreProperties>
</file>